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Borders>
          <w:top w:val="dotted" w:sz="4" w:space="0" w:color="D3D3D3"/>
          <w:left w:val="dotted" w:sz="4" w:space="0" w:color="D3D3D3"/>
          <w:bottom w:val="dotted" w:sz="4" w:space="0" w:color="D3D3D3"/>
          <w:right w:val="dotted" w:sz="4" w:space="0" w:color="D3D3D3"/>
        </w:tblBorders>
        <w:shd w:val="clear" w:color="auto" w:fill="FFFFFF"/>
        <w:tblCellMar>
          <w:left w:w="0" w:type="dxa"/>
          <w:right w:w="0" w:type="dxa"/>
        </w:tblCellMar>
        <w:tblLook w:val="04A0"/>
      </w:tblPr>
      <w:tblGrid>
        <w:gridCol w:w="9375"/>
      </w:tblGrid>
      <w:tr w:rsidR="001F0629" w:rsidRPr="001F0629" w:rsidTr="001F0629">
        <w:trPr>
          <w:trHeight w:val="831"/>
          <w:tblCellSpacing w:w="0" w:type="dxa"/>
          <w:jc w:val="center"/>
        </w:trPr>
        <w:tc>
          <w:tcPr>
            <w:tcW w:w="9375" w:type="dxa"/>
            <w:tcBorders>
              <w:top w:val="dotted" w:sz="4" w:space="0" w:color="D3D3D3"/>
              <w:left w:val="dotted" w:sz="4" w:space="0" w:color="D3D3D3"/>
              <w:bottom w:val="dotted" w:sz="4" w:space="0" w:color="D3D3D3"/>
              <w:right w:val="dotted" w:sz="4" w:space="0" w:color="D3D3D3"/>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Муниципальное автономное дошкольное образовательное учреждение «ДЕТСКИЙ САД № 41»</w:t>
            </w:r>
          </w:p>
        </w:tc>
      </w:tr>
      <w:tr w:rsidR="001F0629" w:rsidRPr="001F0629" w:rsidTr="001F0629">
        <w:trPr>
          <w:trHeight w:val="857"/>
          <w:tblCellSpacing w:w="0" w:type="dxa"/>
          <w:jc w:val="center"/>
        </w:trPr>
        <w:tc>
          <w:tcPr>
            <w:tcW w:w="9375" w:type="dxa"/>
            <w:tcBorders>
              <w:top w:val="dotted" w:sz="4" w:space="0" w:color="D3D3D3"/>
              <w:left w:val="dotted" w:sz="4" w:space="0" w:color="D3D3D3"/>
              <w:bottom w:val="dotted" w:sz="4" w:space="0" w:color="D3D3D3"/>
              <w:right w:val="dotted" w:sz="4" w:space="0" w:color="D3D3D3"/>
            </w:tcBorders>
            <w:shd w:val="clear" w:color="auto" w:fill="FFFFFF"/>
            <w:vAlign w:val="center"/>
            <w:hideMark/>
          </w:tcPr>
          <w:p w:rsidR="001F0629" w:rsidRPr="001F0629" w:rsidRDefault="001F0629" w:rsidP="001F0629">
            <w:pPr>
              <w:spacing w:after="0"/>
              <w:jc w:val="both"/>
              <w:rPr>
                <w:rFonts w:ascii="Times New Roman" w:hAnsi="Times New Roman" w:cs="Times New Roman"/>
              </w:rPr>
            </w:pPr>
            <w:proofErr w:type="spellStart"/>
            <w:r w:rsidRPr="001F0629">
              <w:rPr>
                <w:rFonts w:ascii="Times New Roman" w:hAnsi="Times New Roman" w:cs="Times New Roman"/>
              </w:rPr>
              <w:t>Самообследование</w:t>
            </w:r>
            <w:proofErr w:type="spellEnd"/>
            <w:r w:rsidRPr="001F0629">
              <w:rPr>
                <w:rFonts w:ascii="Times New Roman" w:hAnsi="Times New Roman" w:cs="Times New Roman"/>
              </w:rPr>
              <w:t xml:space="preserve"> деятельности МАДОУ «Детский сад № 41» по итогам 2014/2015 учебного года</w:t>
            </w:r>
          </w:p>
        </w:tc>
      </w:tr>
    </w:tbl>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center"/>
        <w:rPr>
          <w:rFonts w:ascii="Times New Roman" w:hAnsi="Times New Roman" w:cs="Times New Roman"/>
        </w:rPr>
      </w:pPr>
      <w:r w:rsidRPr="001F0629">
        <w:rPr>
          <w:rFonts w:ascii="Times New Roman" w:hAnsi="Times New Roman" w:cs="Times New Roman"/>
        </w:rPr>
        <w:t>ИНФОРМАЦИОННАЯ СПРАВКА О ДЕЯТЕЛЬНОСТИ</w:t>
      </w:r>
    </w:p>
    <w:p w:rsidR="001F0629" w:rsidRPr="001F0629" w:rsidRDefault="001F0629" w:rsidP="001F0629">
      <w:pPr>
        <w:spacing w:after="0"/>
        <w:jc w:val="center"/>
        <w:rPr>
          <w:rFonts w:ascii="Times New Roman" w:hAnsi="Times New Roman" w:cs="Times New Roman"/>
        </w:rPr>
      </w:pPr>
      <w:r w:rsidRPr="001F0629">
        <w:rPr>
          <w:rFonts w:ascii="Times New Roman" w:hAnsi="Times New Roman" w:cs="Times New Roman"/>
        </w:rPr>
        <w:t xml:space="preserve">МАДОУ «ДЕТСКИЙ САД № 41» в 2014/2015 </w:t>
      </w:r>
      <w:proofErr w:type="spellStart"/>
      <w:r w:rsidRPr="001F0629">
        <w:rPr>
          <w:rFonts w:ascii="Times New Roman" w:hAnsi="Times New Roman" w:cs="Times New Roman"/>
        </w:rPr>
        <w:t>уч</w:t>
      </w:r>
      <w:proofErr w:type="spellEnd"/>
      <w:r w:rsidRPr="001F0629">
        <w:rPr>
          <w:rFonts w:ascii="Times New Roman" w:hAnsi="Times New Roman" w:cs="Times New Roman"/>
        </w:rPr>
        <w:t>. году</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          Муниципальное автономное дошкольное образовательное учреждение «Детский сад  № 41» (далее по тексту – Учреждение) является некоммерческой организацией, созданной путем учреждения для оказания услуг в целях обеспечения реализации предусмотренных законодательством Российской Федерации полномочий муниципального образования </w:t>
      </w:r>
      <w:proofErr w:type="gramStart"/>
      <w:r w:rsidRPr="001F0629">
        <w:rPr>
          <w:rFonts w:ascii="Times New Roman" w:hAnsi="Times New Roman" w:cs="Times New Roman"/>
        </w:rPr>
        <w:t>г</w:t>
      </w:r>
      <w:proofErr w:type="gramEnd"/>
      <w:r w:rsidRPr="001F0629">
        <w:rPr>
          <w:rFonts w:ascii="Times New Roman" w:hAnsi="Times New Roman" w:cs="Times New Roman"/>
        </w:rPr>
        <w:t>. Великий Новгород в сфере образования.</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          Полное наименование – муниципальное автономное дошкольное образовательное учреждение «Детский сад № 41». Сокращенное наименование – МАДОУ «Детский сад № 41». Тип муниципального учреждения – </w:t>
      </w:r>
      <w:proofErr w:type="gramStart"/>
      <w:r w:rsidRPr="001F0629">
        <w:rPr>
          <w:rFonts w:ascii="Times New Roman" w:hAnsi="Times New Roman" w:cs="Times New Roman"/>
        </w:rPr>
        <w:t>автономное</w:t>
      </w:r>
      <w:proofErr w:type="gramEnd"/>
      <w:r w:rsidRPr="001F0629">
        <w:rPr>
          <w:rFonts w:ascii="Times New Roman" w:hAnsi="Times New Roman" w:cs="Times New Roman"/>
        </w:rPr>
        <w:t xml:space="preserve">. Тип образовательной организации в соответствии с ФЗ от 29.12.2012 года № 273-ФЗ «Об образовании в Российской Федерации» с учетом организационно-правовой формы – дошкольное образовательное учреждение. Место нахождения учреждения (юридический, фактический и почтовый адрес): Российская Федерация, Новгородская область, 173016, Великий Новгород, Технический проезд дом 9 корпус 1. Телефон: (8162) 68-44-51. </w:t>
      </w:r>
      <w:proofErr w:type="spellStart"/>
      <w:r w:rsidRPr="001F0629">
        <w:rPr>
          <w:rFonts w:ascii="Times New Roman" w:hAnsi="Times New Roman" w:cs="Times New Roman"/>
        </w:rPr>
        <w:t>E-mail</w:t>
      </w:r>
      <w:proofErr w:type="spellEnd"/>
      <w:r w:rsidRPr="001F0629">
        <w:rPr>
          <w:rFonts w:ascii="Times New Roman" w:hAnsi="Times New Roman" w:cs="Times New Roman"/>
        </w:rPr>
        <w:t>: </w:t>
      </w:r>
      <w:hyperlink r:id="rId4" w:history="1">
        <w:r w:rsidRPr="001F0629">
          <w:rPr>
            <w:rStyle w:val="a5"/>
            <w:rFonts w:ascii="Times New Roman" w:hAnsi="Times New Roman" w:cs="Times New Roman"/>
          </w:rPr>
          <w:t>detsad41@mail.ru</w:t>
        </w:r>
      </w:hyperlink>
      <w:r w:rsidRPr="001F0629">
        <w:rPr>
          <w:rFonts w:ascii="Times New Roman" w:hAnsi="Times New Roman" w:cs="Times New Roman"/>
        </w:rPr>
        <w:t>.</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Официальный сайт Учреждения – novgorodsad41.ucoz.ru. Учреждение не имеет представительств и филиалов.</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Учредителем МАДОУ «Детский сад № 41» и собственником его имущества является муниципальное образование – городской округ Великий Новгород. Функции и полномочия учредителя Учреждения осуществляет комитет по образованию Администрации Великого Новгорода, в ведении которого Учреждение находится. Функции и полномочия собственника имущества, находящегося в оперативном управлении Учреждения, осуществляет комитет по управлению муниципальным имуществом Администрации Великого Новгорода. Учреждение является юридическим лицом, действует на основании Устава, имеет обособленное имущество,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печать с полным и сокращенным наименованием на русском языке, штампы и бланки со своим наименованием.</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Осуществление образовательной деятельности в соответствии с лицензией на </w:t>
      </w:r>
      <w:proofErr w:type="gramStart"/>
      <w:r w:rsidRPr="001F0629">
        <w:rPr>
          <w:rFonts w:ascii="Times New Roman" w:hAnsi="Times New Roman" w:cs="Times New Roman"/>
        </w:rPr>
        <w:t>право ведения</w:t>
      </w:r>
      <w:proofErr w:type="gramEnd"/>
      <w:r w:rsidRPr="001F0629">
        <w:rPr>
          <w:rFonts w:ascii="Times New Roman" w:hAnsi="Times New Roman" w:cs="Times New Roman"/>
        </w:rPr>
        <w:t xml:space="preserve"> образовательной деятельности. Основной целью деятельности Учреждения является осуществление образовательной деятельности по основным образовательным программам дошкольного образования в группах </w:t>
      </w:r>
      <w:proofErr w:type="spellStart"/>
      <w:r w:rsidRPr="001F0629">
        <w:rPr>
          <w:rFonts w:ascii="Times New Roman" w:hAnsi="Times New Roman" w:cs="Times New Roman"/>
        </w:rPr>
        <w:t>общеразвивающей</w:t>
      </w:r>
      <w:proofErr w:type="spellEnd"/>
      <w:r w:rsidRPr="001F0629">
        <w:rPr>
          <w:rFonts w:ascii="Times New Roman" w:hAnsi="Times New Roman" w:cs="Times New Roman"/>
        </w:rPr>
        <w:t xml:space="preserve">  направленности для детей от 1,5 до 8 лет. В 2014/2015 </w:t>
      </w:r>
      <w:proofErr w:type="spellStart"/>
      <w:r w:rsidRPr="001F0629">
        <w:rPr>
          <w:rFonts w:ascii="Times New Roman" w:hAnsi="Times New Roman" w:cs="Times New Roman"/>
        </w:rPr>
        <w:t>уч</w:t>
      </w:r>
      <w:proofErr w:type="spellEnd"/>
      <w:r w:rsidRPr="001F0629">
        <w:rPr>
          <w:rFonts w:ascii="Times New Roman" w:hAnsi="Times New Roman" w:cs="Times New Roman"/>
        </w:rPr>
        <w:t>. году МАДОУ «Детский сад</w:t>
      </w:r>
      <w:proofErr w:type="gramStart"/>
      <w:r w:rsidRPr="001F0629">
        <w:rPr>
          <w:rFonts w:ascii="Times New Roman" w:hAnsi="Times New Roman" w:cs="Times New Roman"/>
        </w:rPr>
        <w:t xml:space="preserve"> ;</w:t>
      </w:r>
      <w:proofErr w:type="gramEnd"/>
      <w:r w:rsidRPr="001F0629">
        <w:rPr>
          <w:rFonts w:ascii="Times New Roman" w:hAnsi="Times New Roman" w:cs="Times New Roman"/>
        </w:rPr>
        <w:t>№ 41» не осуществляло образовательную деятельность по дополнительным образовательным программам.</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Детский сад работает в режиме пятидневной недели с 10,5 часовым пребыванием детей, с четырехразовым питанием.</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          В Учреждении функционировали группы </w:t>
      </w:r>
      <w:proofErr w:type="spellStart"/>
      <w:r w:rsidRPr="001F0629">
        <w:rPr>
          <w:rFonts w:ascii="Times New Roman" w:hAnsi="Times New Roman" w:cs="Times New Roman"/>
        </w:rPr>
        <w:t>общеразвивающей</w:t>
      </w:r>
      <w:proofErr w:type="spellEnd"/>
      <w:r w:rsidRPr="001F0629">
        <w:rPr>
          <w:rFonts w:ascii="Times New Roman" w:hAnsi="Times New Roman" w:cs="Times New Roman"/>
        </w:rPr>
        <w:t xml:space="preserve"> направленности. В группы </w:t>
      </w:r>
      <w:proofErr w:type="spellStart"/>
      <w:r w:rsidRPr="001F0629">
        <w:rPr>
          <w:rFonts w:ascii="Times New Roman" w:hAnsi="Times New Roman" w:cs="Times New Roman"/>
        </w:rPr>
        <w:t>общеразвивающей</w:t>
      </w:r>
      <w:proofErr w:type="spellEnd"/>
      <w:r w:rsidRPr="001F0629">
        <w:rPr>
          <w:rFonts w:ascii="Times New Roman" w:hAnsi="Times New Roman" w:cs="Times New Roman"/>
        </w:rPr>
        <w:t xml:space="preserve"> направленности принимаются воспитанники, достигшие возраста 1,5 лет. Режим функционирования групп в Учреждении  – 10,5 часов в день: с 7.30 часов  до 18 часов. По запросу родителей (законных представителей) возможно пребывание детей в МАДОУ по режиму кратковременного посещения.</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lastRenderedPageBreak/>
        <w:t>          Учреждение размещается в здании, построенном по типовому проекту и рассчитанном на 220 мест. Фактическая наполняемость групп на данный момент (на 01.06.2015 г.) – 255 воспитанников.</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          В МАДОУ в 2014/2015 </w:t>
      </w:r>
      <w:proofErr w:type="spellStart"/>
      <w:r w:rsidRPr="001F0629">
        <w:rPr>
          <w:rFonts w:ascii="Times New Roman" w:hAnsi="Times New Roman" w:cs="Times New Roman"/>
        </w:rPr>
        <w:t>уч</w:t>
      </w:r>
      <w:proofErr w:type="spellEnd"/>
      <w:r w:rsidRPr="001F0629">
        <w:rPr>
          <w:rFonts w:ascii="Times New Roman" w:hAnsi="Times New Roman" w:cs="Times New Roman"/>
        </w:rPr>
        <w:t>. году функционировало:</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2 подготовительные к школе группы (6 – 7 лет) – 42 чел.;</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2 старших группы (5 – 6 лет) – 40 чел.;</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2 средних группы (4 – 5 лет) – 44 чел.;</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2 младшие группы (3 – 4 года) – 48 чел.;</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3 группы раннего возраста (1,5 – 3 года) – 64 чел.</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1 ГКП (9 мес.-1,5 года) – 17 чел.</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 АНАЛИЗ ДЕЯТЕЛЬНОСТИ УЧРЕЖДЕНИЯ в 2014/2015 </w:t>
      </w:r>
      <w:proofErr w:type="spellStart"/>
      <w:r w:rsidRPr="001F0629">
        <w:rPr>
          <w:rFonts w:ascii="Times New Roman" w:hAnsi="Times New Roman" w:cs="Times New Roman"/>
        </w:rPr>
        <w:t>уч</w:t>
      </w:r>
      <w:proofErr w:type="spellEnd"/>
      <w:r w:rsidRPr="001F0629">
        <w:rPr>
          <w:rFonts w:ascii="Times New Roman" w:hAnsi="Times New Roman" w:cs="Times New Roman"/>
        </w:rPr>
        <w:t>. году</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Детский сад занимает двухэтажное, кирпичное здание. Год постройки – 1966. Здание оборудовано наружным освещением, что дает возможность детям гулять во второй половине дня в зимний период. Прилегающая к детскому саду территория ограждена забором и озеленена. Земельный участок детского сада делится на зону застройки, зону игровой деятельности, хозяйственную. Зона застройки включает основное двухэтажное здание, которое размещено в центре участка, рядом расположен небольшой огород для посильного труда детей старшего дошкольного возраста, где выращиваются лук, укроп, морковь, картофель. Зона игровой территории включает 12 прогулочных участков, которые организованы так, чтобы каждый ребенок чувствовал себя комфортно: отсутствуют традиционные ограждения, территория разделена на групповые зоны зелеными насаждениями. Игровые площадки имеют теневые навесы с посадочными местами для детей, песочницы, малые формы, столики для игр и занятий. Размеры групповых участков позволяют проводить утреннюю гимнастику в теплый период года, подвижные игры. На территории детского сада оборудован спортивный комплекс. Территорию детского сада украшают многочисленные цветники и газоны, посажены декоративные кустарники и деревья. В хозяйственной зоне располагается здание склада.</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СОСТОЯНИЕ МАТЕРИАЛЬНО-ТЕХНИЧЕСКОЙ БАЗЫ</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Состояние материально – технической базы Учреждения соответствует педагогическим требованиям, современному уровню образования и санитарным нормам. Муниципальное автономное дошкольное образовательное учреждение «Детский сад №41» располагает набором помещений, необходимых для организации воспитания, обучения и оздоровления детей. В Учреждении оборудованы: физкультурный зал, музыкальный зал, методический кабинет, кабинет учителя – логопеда, групповые помещения для детей со спальными комнатами  и раздевалками. Также имеются медицинский блок, пищеблок, прачечная. Предметно-пространственная среда обеспечивает физическое, познавательное, речевое, социально-коммуникативное и художественно-эстетическое развитие детей раннего и дошкольного возраста.</w:t>
      </w:r>
    </w:p>
    <w:tbl>
      <w:tblPr>
        <w:tblW w:w="879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15"/>
        <w:gridCol w:w="6484"/>
      </w:tblGrid>
      <w:tr w:rsidR="001F0629" w:rsidRPr="001F0629" w:rsidTr="001F0629">
        <w:trPr>
          <w:trHeight w:val="88"/>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proofErr w:type="spellStart"/>
            <w:r w:rsidRPr="001F0629">
              <w:rPr>
                <w:rFonts w:ascii="Times New Roman" w:hAnsi="Times New Roman" w:cs="Times New Roman"/>
              </w:rPr>
              <w:t>Физкультурныйзал</w:t>
            </w:r>
            <w:proofErr w:type="spellEnd"/>
          </w:p>
        </w:tc>
        <w:tc>
          <w:tcPr>
            <w:tcW w:w="64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Физкультурный зал оснащен разнообразным спортивным инвентарем: гимнастическими матами, мячами, обручами, скакалками, гантелями, кеглями, </w:t>
            </w:r>
            <w:proofErr w:type="spellStart"/>
            <w:r w:rsidRPr="001F0629">
              <w:rPr>
                <w:rFonts w:ascii="Times New Roman" w:hAnsi="Times New Roman" w:cs="Times New Roman"/>
              </w:rPr>
              <w:t>кольцебросами</w:t>
            </w:r>
            <w:proofErr w:type="spellEnd"/>
            <w:r w:rsidRPr="001F0629">
              <w:rPr>
                <w:rFonts w:ascii="Times New Roman" w:hAnsi="Times New Roman" w:cs="Times New Roman"/>
              </w:rPr>
              <w:t xml:space="preserve">, мягкими модулями. В физкультурном зале установлены: шведская стенка,  тоннель для </w:t>
            </w:r>
            <w:proofErr w:type="spellStart"/>
            <w:r w:rsidRPr="001F0629">
              <w:rPr>
                <w:rFonts w:ascii="Times New Roman" w:hAnsi="Times New Roman" w:cs="Times New Roman"/>
              </w:rPr>
              <w:t>подлезания</w:t>
            </w:r>
            <w:proofErr w:type="spellEnd"/>
            <w:r w:rsidRPr="001F0629">
              <w:rPr>
                <w:rFonts w:ascii="Times New Roman" w:hAnsi="Times New Roman" w:cs="Times New Roman"/>
              </w:rPr>
              <w:t>, подвижные канаты и кольца на подвесной балке, диск здоровья.</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tc>
      </w:tr>
      <w:tr w:rsidR="001F0629" w:rsidRPr="001F0629" w:rsidTr="001F0629">
        <w:trPr>
          <w:trHeight w:val="830"/>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Музыкальный зал</w:t>
            </w:r>
          </w:p>
        </w:tc>
        <w:tc>
          <w:tcPr>
            <w:tcW w:w="64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proofErr w:type="gramStart"/>
            <w:r w:rsidRPr="001F0629">
              <w:rPr>
                <w:rFonts w:ascii="Times New Roman" w:hAnsi="Times New Roman" w:cs="Times New Roman"/>
              </w:rPr>
              <w:t xml:space="preserve">Музыкальный зал отвечает всем требованиям художественно- эстетического воспитания дошкольников и укомплектован современными музыкальными инструментами: фортепиано, </w:t>
            </w:r>
            <w:r w:rsidRPr="001F0629">
              <w:rPr>
                <w:rFonts w:ascii="Times New Roman" w:hAnsi="Times New Roman" w:cs="Times New Roman"/>
              </w:rPr>
              <w:lastRenderedPageBreak/>
              <w:t xml:space="preserve">музыкальным центром с функцией «караоке», металлофонами, ксилофонами, </w:t>
            </w:r>
            <w:proofErr w:type="spellStart"/>
            <w:r w:rsidRPr="001F0629">
              <w:rPr>
                <w:rFonts w:ascii="Times New Roman" w:hAnsi="Times New Roman" w:cs="Times New Roman"/>
              </w:rPr>
              <w:t>клавесами</w:t>
            </w:r>
            <w:proofErr w:type="spellEnd"/>
            <w:r w:rsidRPr="001F0629">
              <w:rPr>
                <w:rFonts w:ascii="Times New Roman" w:hAnsi="Times New Roman" w:cs="Times New Roman"/>
              </w:rPr>
              <w:t>, кастаньетами, маракасами, трещотками, колокольчиками, пальчиковыми тарелками, треугольниками, тамбуринами, флейтами, свистками,  Имеется большое количество дисков с песнями и фонограммами.</w:t>
            </w:r>
            <w:proofErr w:type="gramEnd"/>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tc>
      </w:tr>
      <w:tr w:rsidR="001F0629" w:rsidRPr="001F0629" w:rsidTr="001F0629">
        <w:trPr>
          <w:trHeight w:val="1599"/>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lastRenderedPageBreak/>
              <w:t>Методический кабинет</w:t>
            </w:r>
          </w:p>
        </w:tc>
        <w:tc>
          <w:tcPr>
            <w:tcW w:w="64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Для обеспечения успешной и целенаправленной работы педагогов в методическом кабинете оборудование и оснащение систематизировано и представлено несколькими блоками:</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      Нормативные документы</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2.      Учебно-методическое обеспечение</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3.      Наглядно-иллюстративные материалы</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4.      Литература педагогическая и детская, периодические издания</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5.      Выставки</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6.      Документация по содержанию работы ДОУ</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Оформлен и периодически обновляется стенд «Информация для педагогов»</w:t>
            </w:r>
          </w:p>
        </w:tc>
      </w:tr>
      <w:tr w:rsidR="001F0629" w:rsidRPr="001F0629" w:rsidTr="001F0629">
        <w:trPr>
          <w:trHeight w:val="822"/>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Логопедический кабинет</w:t>
            </w:r>
          </w:p>
        </w:tc>
        <w:tc>
          <w:tcPr>
            <w:tcW w:w="64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 логопедическом кабинете есть все необходимое для работы с детьми: удобная детская мебель, зеркало с подсветкой для индивидуальных занятий с детьми, логопедические зонды, шпатели, игры и пособия, картотека игр. Условно кабинет логопеда можно разделить на четыре зоны:  зона для индивидуальной работы;  рабочая зона для непосредственно образовательной деятельности с группой детей;  игровая зона;  методическая зона.</w:t>
            </w:r>
          </w:p>
        </w:tc>
      </w:tr>
      <w:tr w:rsidR="001F0629" w:rsidRPr="001F0629" w:rsidTr="001F0629">
        <w:trPr>
          <w:trHeight w:val="336"/>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Групповые помещения, раздевалки, спальни</w:t>
            </w:r>
          </w:p>
        </w:tc>
        <w:tc>
          <w:tcPr>
            <w:tcW w:w="64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Групповые помещения для детей, раздевалки, спальни светлые, уютные, обеспечены всей необходимой корпусной мебелью, в т.ч. регулированными партами для детей старшего дошкольного возраста. Вся мебель подобрана с учетом гигиенических и педагогических требований.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Такая организация пространства является одним из условий среды, которое дает возможность педагогу приблизиться к позиции ребенка. В группах оформлены книжные уголки, уголки природы, театрализованной и изобразительной деятельности, физкультурные и музыкальные уголки. Продуманы игровые зоны, определены места для индивидуальной работы с детьми. Вся обстановка в группе приближена к домашней и отвечает принципам организации предметно-развивающей среды</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tc>
      </w:tr>
    </w:tbl>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КАДРОВЫЙ ПОТЕНЦИАЛ</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          В 2014/2015 </w:t>
      </w:r>
      <w:proofErr w:type="spellStart"/>
      <w:r w:rsidRPr="001F0629">
        <w:rPr>
          <w:rFonts w:ascii="Times New Roman" w:hAnsi="Times New Roman" w:cs="Times New Roman"/>
        </w:rPr>
        <w:t>уч</w:t>
      </w:r>
      <w:proofErr w:type="spellEnd"/>
      <w:r w:rsidRPr="001F0629">
        <w:rPr>
          <w:rFonts w:ascii="Times New Roman" w:hAnsi="Times New Roman" w:cs="Times New Roman"/>
        </w:rPr>
        <w:t>. году  образовательную деятельность по образовательной программе дошкольного образования осуществляли 23 педагога, из них: 1 старший воспитатель,</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 учитель-логопед, 2 музыкальных руководителя, 19 воспитатель, (2 воспитателя находятся в отпуске по уходу за ребенком до 1,5 лет).</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lastRenderedPageBreak/>
        <w:t>Качественный состав педагогов МАДОУ «Детский сад № 41» по уровню образования</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на 2014-2015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11"/>
        <w:gridCol w:w="2111"/>
        <w:gridCol w:w="2111"/>
        <w:gridCol w:w="2112"/>
      </w:tblGrid>
      <w:tr w:rsidR="001F0629" w:rsidRPr="001F0629" w:rsidTr="001F0629">
        <w:trPr>
          <w:trHeight w:val="168"/>
          <w:tblCellSpacing w:w="0" w:type="dxa"/>
        </w:trPr>
        <w:tc>
          <w:tcPr>
            <w:tcW w:w="21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Всего педагогических работников</w:t>
            </w:r>
          </w:p>
        </w:tc>
        <w:tc>
          <w:tcPr>
            <w:tcW w:w="633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Педагогов по уровню образования</w:t>
            </w:r>
          </w:p>
        </w:tc>
      </w:tr>
      <w:tr w:rsidR="001F0629" w:rsidRPr="001F0629" w:rsidTr="001F0629">
        <w:trPr>
          <w:trHeight w:val="8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Высшее образование</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Незаконченное высшее</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Среднее специальное</w:t>
            </w:r>
          </w:p>
        </w:tc>
      </w:tr>
      <w:tr w:rsidR="001F0629" w:rsidRPr="001F0629" w:rsidTr="001F0629">
        <w:trPr>
          <w:trHeight w:val="177"/>
          <w:tblCellSpacing w:w="0" w:type="dxa"/>
        </w:trPr>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23 чел.</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13 чел. – 56,5%</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5 чел. – 22%</w:t>
            </w:r>
          </w:p>
        </w:tc>
        <w:tc>
          <w:tcPr>
            <w:tcW w:w="2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10 чел. – 43,4%</w:t>
            </w:r>
          </w:p>
        </w:tc>
      </w:tr>
    </w:tbl>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Качественный состав педагогов по стажу работы на 2014-2015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76"/>
        <w:gridCol w:w="2076"/>
        <w:gridCol w:w="2076"/>
        <w:gridCol w:w="2076"/>
      </w:tblGrid>
      <w:tr w:rsidR="001F0629" w:rsidRPr="001F0629" w:rsidTr="001F0629">
        <w:trPr>
          <w:trHeight w:val="221"/>
          <w:tblCellSpacing w:w="0" w:type="dxa"/>
        </w:trPr>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от 0 до 5 лет</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от 5 до 10 лет</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от 10 до 20 лет</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более 20 лет</w:t>
            </w:r>
          </w:p>
        </w:tc>
      </w:tr>
      <w:tr w:rsidR="001F0629" w:rsidRPr="001F0629" w:rsidTr="001F0629">
        <w:trPr>
          <w:trHeight w:val="221"/>
          <w:tblCellSpacing w:w="0" w:type="dxa"/>
        </w:trPr>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8 чел. – 34,7%</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6 чел. – 24%</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 чел. – 4%</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11 чел. – 44%</w:t>
            </w:r>
          </w:p>
        </w:tc>
      </w:tr>
    </w:tbl>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Качественный состав педагогов по квалификационным категориям</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на 2014-2015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65"/>
        <w:gridCol w:w="2765"/>
        <w:gridCol w:w="2765"/>
      </w:tblGrid>
      <w:tr w:rsidR="001F0629" w:rsidRPr="001F0629" w:rsidTr="001F0629">
        <w:trPr>
          <w:trHeight w:val="345"/>
          <w:tblCellSpacing w:w="0" w:type="dxa"/>
        </w:trPr>
        <w:tc>
          <w:tcPr>
            <w:tcW w:w="2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высшая квалификационная категория</w:t>
            </w:r>
          </w:p>
        </w:tc>
        <w:tc>
          <w:tcPr>
            <w:tcW w:w="2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первая квалификационная категория</w:t>
            </w:r>
          </w:p>
        </w:tc>
        <w:tc>
          <w:tcPr>
            <w:tcW w:w="2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без категории</w:t>
            </w:r>
          </w:p>
        </w:tc>
      </w:tr>
      <w:tr w:rsidR="001F0629" w:rsidRPr="001F0629" w:rsidTr="001F0629">
        <w:trPr>
          <w:trHeight w:val="177"/>
          <w:tblCellSpacing w:w="0" w:type="dxa"/>
        </w:trPr>
        <w:tc>
          <w:tcPr>
            <w:tcW w:w="2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3 чел. – 13%</w:t>
            </w:r>
          </w:p>
        </w:tc>
        <w:tc>
          <w:tcPr>
            <w:tcW w:w="2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10 чел. – 44%</w:t>
            </w:r>
          </w:p>
        </w:tc>
        <w:tc>
          <w:tcPr>
            <w:tcW w:w="2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10 чел. – 44%</w:t>
            </w:r>
          </w:p>
        </w:tc>
      </w:tr>
    </w:tbl>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Каждый год в дошкольном образовании разрабатываются новые технологии и подходы к методикам обучения. Чтобы соответствовать новым требованиям, ежегодно педагоги повышают уровень профессиональных компетенций. Методическая работа в детском саду предполагает взаимосвязь с общей системой непрерывного образования, что позволяет строить систему повышения квалификации воспитателей, используя разнообразные ее формы, с творческим осмыслением новых подходов к обучению детей, изучением нормативно-правовых документов, внедрением достижений науки и передовых технологий в практику ДОУ.</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          76% от общего числа педагогов Учреждения  (21 чел.)  за последние три года прошли курсы повышения квалификации в Новгородском институте развития образования, 1 педагог - профессиональную переподготовку в Академии народного хозяйства и </w:t>
      </w:r>
      <w:proofErr w:type="spellStart"/>
      <w:r w:rsidRPr="001F0629">
        <w:rPr>
          <w:rFonts w:ascii="Times New Roman" w:hAnsi="Times New Roman" w:cs="Times New Roman"/>
        </w:rPr>
        <w:t>госслужбы</w:t>
      </w:r>
      <w:proofErr w:type="spellEnd"/>
      <w:r w:rsidRPr="001F0629">
        <w:rPr>
          <w:rFonts w:ascii="Times New Roman" w:hAnsi="Times New Roman" w:cs="Times New Roman"/>
        </w:rPr>
        <w:t xml:space="preserve"> при президенте РФ.</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5 педагогов (20%) являются студентами Новгородского института непрерывного педагогического образования.</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Качество педагогических кадров - один из самых важных компонентов образовательной системы потому, что реализация всех остальных компонентов напрямую зависит от тех человеческих ресурсов, которыми обеспечена та или иная образовательная система. Высокий уровень профессионализма педагога – результат целенаправленной, систематической и творческой работы над собой, постоянного повышения своего научно-методического потенциала. Данная тенденция подтверждается в Концепции модернизации Российского образования. Однако зачастую педагоги останавливаются в своем развитии, не стремятся к самосовершенствованию и профессиональному росту. Анализ уровня профессиональной компетенции педагогов позволил выявить, что в образовательном процессе педагоги чаще используют традиционные приемы, методы и формы работы с детьми, недостаточно хорошо ориентируются в современных технологиях. В связи с этим появилась задача поиска соответствующих условий, форм и методов повышения профессиональной компетентности педагогов Учреждения.</w:t>
      </w:r>
    </w:p>
    <w:p w:rsidR="001F0629" w:rsidRPr="001F0629" w:rsidRDefault="001F0629" w:rsidP="001F0629">
      <w:pPr>
        <w:spacing w:after="0"/>
        <w:jc w:val="center"/>
        <w:rPr>
          <w:rFonts w:ascii="Times New Roman" w:hAnsi="Times New Roman" w:cs="Times New Roman"/>
          <w:b/>
          <w:i/>
          <w:u w:val="single"/>
        </w:rPr>
      </w:pPr>
      <w:r w:rsidRPr="001F0629">
        <w:rPr>
          <w:rFonts w:ascii="Times New Roman" w:hAnsi="Times New Roman" w:cs="Times New Roman"/>
          <w:b/>
          <w:i/>
          <w:u w:val="single"/>
        </w:rPr>
        <w:t>Показатели</w:t>
      </w:r>
      <w:r w:rsidRPr="001F0629">
        <w:rPr>
          <w:rFonts w:ascii="Times New Roman" w:hAnsi="Times New Roman" w:cs="Times New Roman"/>
          <w:b/>
          <w:i/>
          <w:u w:val="single"/>
        </w:rPr>
        <w:br/>
      </w:r>
      <w:proofErr w:type="spellStart"/>
      <w:r w:rsidRPr="001F0629">
        <w:rPr>
          <w:rFonts w:ascii="Times New Roman" w:hAnsi="Times New Roman" w:cs="Times New Roman"/>
          <w:b/>
          <w:i/>
          <w:u w:val="single"/>
        </w:rPr>
        <w:t>самообследования</w:t>
      </w:r>
      <w:proofErr w:type="spellEnd"/>
      <w:r w:rsidRPr="001F0629">
        <w:rPr>
          <w:rFonts w:ascii="Times New Roman" w:hAnsi="Times New Roman" w:cs="Times New Roman"/>
          <w:b/>
          <w:i/>
          <w:u w:val="single"/>
        </w:rPr>
        <w:t xml:space="preserve"> деятельности</w:t>
      </w:r>
    </w:p>
    <w:p w:rsidR="001F0629" w:rsidRPr="001F0629" w:rsidRDefault="001F0629" w:rsidP="001F0629">
      <w:pPr>
        <w:spacing w:after="0"/>
        <w:jc w:val="center"/>
        <w:rPr>
          <w:rFonts w:ascii="Times New Roman" w:hAnsi="Times New Roman" w:cs="Times New Roman"/>
          <w:b/>
          <w:i/>
          <w:u w:val="single"/>
        </w:rPr>
      </w:pPr>
      <w:r w:rsidRPr="001F0629">
        <w:rPr>
          <w:rFonts w:ascii="Times New Roman" w:hAnsi="Times New Roman" w:cs="Times New Roman"/>
          <w:b/>
          <w:i/>
          <w:u w:val="single"/>
        </w:rPr>
        <w:t>муниципального автономного дошкольного образовательного учреждения «Детский сад № 41»</w:t>
      </w:r>
    </w:p>
    <w:p w:rsidR="001F0629" w:rsidRPr="001F0629" w:rsidRDefault="001F0629" w:rsidP="001F0629">
      <w:pPr>
        <w:spacing w:after="0"/>
        <w:jc w:val="center"/>
        <w:rPr>
          <w:rFonts w:ascii="Times New Roman" w:hAnsi="Times New Roman" w:cs="Times New Roman"/>
          <w:b/>
          <w:i/>
          <w:u w:val="single"/>
        </w:rPr>
      </w:pPr>
      <w:r w:rsidRPr="001F0629">
        <w:rPr>
          <w:rFonts w:ascii="Times New Roman" w:hAnsi="Times New Roman" w:cs="Times New Roman"/>
          <w:b/>
          <w:i/>
          <w:u w:val="single"/>
        </w:rPr>
        <w:t>(утв. </w:t>
      </w:r>
      <w:hyperlink r:id="rId5" w:anchor="sub_0" w:history="1">
        <w:r w:rsidRPr="001F0629">
          <w:rPr>
            <w:rStyle w:val="a5"/>
            <w:rFonts w:ascii="Times New Roman" w:hAnsi="Times New Roman" w:cs="Times New Roman"/>
            <w:b/>
            <w:i/>
          </w:rPr>
          <w:t>приказом</w:t>
        </w:r>
      </w:hyperlink>
      <w:r w:rsidRPr="001F0629">
        <w:rPr>
          <w:rFonts w:ascii="Times New Roman" w:hAnsi="Times New Roman" w:cs="Times New Roman"/>
          <w:b/>
          <w:i/>
          <w:u w:val="single"/>
        </w:rPr>
        <w:t> Министерства образования и науки РФ от 10 декабря 2013 г. N 1324)</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3"/>
        <w:gridCol w:w="6926"/>
        <w:gridCol w:w="1671"/>
      </w:tblGrid>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lastRenderedPageBreak/>
              <w:t xml:space="preserve">N </w:t>
            </w:r>
            <w:proofErr w:type="spellStart"/>
            <w:proofErr w:type="gramStart"/>
            <w:r w:rsidRPr="001F0629">
              <w:rPr>
                <w:rFonts w:ascii="Times New Roman" w:hAnsi="Times New Roman" w:cs="Times New Roman"/>
              </w:rPr>
              <w:t>п</w:t>
            </w:r>
            <w:proofErr w:type="spellEnd"/>
            <w:proofErr w:type="gramEnd"/>
            <w:r w:rsidRPr="001F0629">
              <w:rPr>
                <w:rFonts w:ascii="Times New Roman" w:hAnsi="Times New Roman" w:cs="Times New Roman"/>
              </w:rPr>
              <w:t>/</w:t>
            </w:r>
            <w:proofErr w:type="spellStart"/>
            <w:r w:rsidRPr="001F0629">
              <w:rPr>
                <w:rFonts w:ascii="Times New Roman" w:hAnsi="Times New Roman" w:cs="Times New Roman"/>
              </w:rPr>
              <w:t>п</w:t>
            </w:r>
            <w:proofErr w:type="spellEnd"/>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Показатели</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Единица измерения</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Образовательная деятельность</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1.1</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255 человека</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1.1.1</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В </w:t>
            </w:r>
            <w:proofErr w:type="gramStart"/>
            <w:r w:rsidRPr="001F0629">
              <w:rPr>
                <w:rFonts w:ascii="Times New Roman" w:hAnsi="Times New Roman" w:cs="Times New Roman"/>
              </w:rPr>
              <w:t>режиме полного дня</w:t>
            </w:r>
            <w:proofErr w:type="gramEnd"/>
            <w:r w:rsidRPr="001F0629">
              <w:rPr>
                <w:rFonts w:ascii="Times New Roman" w:hAnsi="Times New Roman" w:cs="Times New Roman"/>
              </w:rPr>
              <w:t xml:space="preserve"> (8-12 часов)</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238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1.1.2</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 режиме кратковременного пребывания (3-5 часов)</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17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1.1.3</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 семейной дошкольной группе</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0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1.1.4</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0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1.2</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Общая численность воспитанников в возрасте до 3 лет</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75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.1.3</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Общая численность воспитанников в возрасте от 3 до 8 лет</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180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1.4</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255человек/100%</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1.4.1</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xml:space="preserve">В </w:t>
            </w:r>
            <w:proofErr w:type="gramStart"/>
            <w:r w:rsidRPr="001F0629">
              <w:rPr>
                <w:rFonts w:ascii="Times New Roman" w:hAnsi="Times New Roman" w:cs="Times New Roman"/>
              </w:rPr>
              <w:t>режиме полного дня</w:t>
            </w:r>
            <w:proofErr w:type="gramEnd"/>
            <w:r w:rsidRPr="001F0629">
              <w:rPr>
                <w:rFonts w:ascii="Times New Roman" w:hAnsi="Times New Roman" w:cs="Times New Roman"/>
              </w:rPr>
              <w:t xml:space="preserve"> (8-12 часов)</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255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1.4.2</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 режиме продленного дня (12-14 часов)</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0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1.4.3</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 режиме круглосуточного пребывания</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0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1.5</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2 человека/</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0,7 %</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1.5.1</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По коррекции недостатков в физическом и (или) психическом развитии</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0 человека/</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0%</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1.5.2</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По освоению образовательной программы дошкольного образования</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2 человек/0,7%</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1.5.3</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По присмотру и уходу</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2 человек/</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0,7%</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1.6</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10,6 день</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1.7</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Общая численность педагогических работников, в том числе:</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 23 человек</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1.7.1</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13 человек</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56,5 %</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1.7.2</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12 человек/</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52,2 %</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1.7.3</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10 человек/</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43,5 %</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1.7.4</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8 человек/</w:t>
            </w:r>
          </w:p>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36,3%</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1.8</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13 человек/ 59%</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1.8.1</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Высшая</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3 человек/13%</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1.8.2</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Первая</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10 человек/43,5%</w:t>
            </w:r>
          </w:p>
        </w:tc>
      </w:tr>
      <w:tr w:rsidR="001F0629" w:rsidRPr="001F0629" w:rsidTr="00A1075E">
        <w:trPr>
          <w:tblCellSpacing w:w="0" w:type="dxa"/>
        </w:trPr>
        <w:tc>
          <w:tcPr>
            <w:tcW w:w="6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1.9</w:t>
            </w:r>
          </w:p>
        </w:tc>
        <w:tc>
          <w:tcPr>
            <w:tcW w:w="69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0629" w:rsidRPr="001F0629" w:rsidRDefault="001F0629" w:rsidP="001F0629">
            <w:pPr>
              <w:spacing w:after="0"/>
              <w:jc w:val="both"/>
              <w:rPr>
                <w:rFonts w:ascii="Times New Roman" w:hAnsi="Times New Roman" w:cs="Times New Roman"/>
              </w:rPr>
            </w:pPr>
            <w:r w:rsidRPr="001F0629">
              <w:rPr>
                <w:rFonts w:ascii="Times New Roman" w:hAnsi="Times New Roman" w:cs="Times New Roman"/>
              </w:rPr>
              <w:t>человек/%</w:t>
            </w:r>
          </w:p>
        </w:tc>
      </w:tr>
    </w:tbl>
    <w:p w:rsidR="00255420" w:rsidRDefault="00A1075E" w:rsidP="001F0629">
      <w:pPr>
        <w:spacing w:after="0"/>
      </w:pPr>
      <w:r>
        <w:rPr>
          <w:noProof/>
          <w:lang w:eastAsia="ru-RU"/>
        </w:rPr>
        <w:lastRenderedPageBreak/>
        <w:drawing>
          <wp:inline distT="0" distB="0" distL="0" distR="0">
            <wp:extent cx="6171735" cy="8469753"/>
            <wp:effectExtent l="19050" t="0" r="465" b="0"/>
            <wp:docPr id="1" name="Рисунок 1" descr="C:\Users\Админ\Pictures\2016-02-15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16-02-15 1\1 001.jpg"/>
                    <pic:cNvPicPr>
                      <a:picLocks noChangeAspect="1" noChangeArrowheads="1"/>
                    </pic:cNvPicPr>
                  </pic:nvPicPr>
                  <pic:blipFill>
                    <a:blip r:embed="rId6" cstate="print"/>
                    <a:srcRect/>
                    <a:stretch>
                      <a:fillRect/>
                    </a:stretch>
                  </pic:blipFill>
                  <pic:spPr bwMode="auto">
                    <a:xfrm>
                      <a:off x="0" y="0"/>
                      <a:ext cx="6172684" cy="8471055"/>
                    </a:xfrm>
                    <a:prstGeom prst="rect">
                      <a:avLst/>
                    </a:prstGeom>
                    <a:noFill/>
                    <a:ln w="9525">
                      <a:noFill/>
                      <a:miter lim="800000"/>
                      <a:headEnd/>
                      <a:tailEnd/>
                    </a:ln>
                  </pic:spPr>
                </pic:pic>
              </a:graphicData>
            </a:graphic>
          </wp:inline>
        </w:drawing>
      </w:r>
    </w:p>
    <w:sectPr w:rsidR="00255420" w:rsidSect="00255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F0629"/>
    <w:rsid w:val="001F0629"/>
    <w:rsid w:val="00255420"/>
    <w:rsid w:val="00A1075E"/>
    <w:rsid w:val="00AE204C"/>
    <w:rsid w:val="00F2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20"/>
  </w:style>
  <w:style w:type="paragraph" w:styleId="1">
    <w:name w:val="heading 1"/>
    <w:basedOn w:val="a"/>
    <w:link w:val="10"/>
    <w:uiPriority w:val="9"/>
    <w:qFormat/>
    <w:rsid w:val="001F0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62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0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0629"/>
    <w:rPr>
      <w:b/>
      <w:bCs/>
    </w:rPr>
  </w:style>
  <w:style w:type="character" w:styleId="a5">
    <w:name w:val="Hyperlink"/>
    <w:basedOn w:val="a0"/>
    <w:uiPriority w:val="99"/>
    <w:unhideWhenUsed/>
    <w:rsid w:val="001F0629"/>
    <w:rPr>
      <w:color w:val="0000FF"/>
      <w:u w:val="single"/>
    </w:rPr>
  </w:style>
  <w:style w:type="paragraph" w:styleId="a6">
    <w:name w:val="Balloon Text"/>
    <w:basedOn w:val="a"/>
    <w:link w:val="a7"/>
    <w:uiPriority w:val="99"/>
    <w:semiHidden/>
    <w:unhideWhenUsed/>
    <w:rsid w:val="00A107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0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ovgorodsad41.ucoz.ru/publ/samoobsledovanie_dejatelnosti_madou_detskij_sad_41_po_itogam_2014_2015_uchebnogo_goda/1-1-0-51" TargetMode="External"/><Relationship Id="rId4" Type="http://schemas.openxmlformats.org/officeDocument/2006/relationships/hyperlink" Target="mailto:detsad4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2198</Words>
  <Characters>12530</Characters>
  <Application>Microsoft Office Word</Application>
  <DocSecurity>0</DocSecurity>
  <Lines>104</Lines>
  <Paragraphs>29</Paragraphs>
  <ScaleCrop>false</ScaleCrop>
  <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2016-02-15T16:12:00Z</cp:lastPrinted>
  <dcterms:created xsi:type="dcterms:W3CDTF">2016-02-15T16:12:00Z</dcterms:created>
  <dcterms:modified xsi:type="dcterms:W3CDTF">2016-02-15T16:15:00Z</dcterms:modified>
</cp:coreProperties>
</file>